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附式二：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選舉(罷免)廣告刊播切結書(廣告主、出資者)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立切結書人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(下稱立書人，即□廣告主 □出資者)，向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(□受託刊播者或□代理人)，委託其刊播前附申請書所載之□競選□罷免廣告，已知悉總統副總統選舉罷免法第47條之1第1項及公職人員選舉罷免法第51條之1第1項規定，特立切結書事項如下：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5" w:right="0" w:hanging="645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立書人非屬下列各款人員：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5" w:right="0" w:hanging="81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外國人民、法人、團體或其他機構，或主要成員為外國人民、法人、團體或其他機構之法人、團體或其他機構。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5" w:right="0" w:hanging="81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大陸地區人民、法人、團體或其他機構，或主要成員為大陸地區人民、法人、團體或其他機構之法人、團體或其他機構。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5" w:right="0" w:hanging="81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香港、澳門居民、法人、團體或其他機構，或主要成員為香港、澳門居民、法人、團體或其他機構之法人、團體或其他機構。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5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(主要成員之定義如申請書說明四)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5" w:right="0" w:hanging="645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立書人如經查證屬第一點各款規定人員者，受託刊播者應不予刊播廣告，如已刊播，應立即停止刊播。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5" w:right="0" w:hanging="645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本切結書應併同廣告刊播申請書出具予受託刊播者或代理人留存。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此致   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   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(請填寫受託刊播者或代理人)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立書人(自然人或法人、團體)：               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(簽名或蓋章)</w:t>
      </w: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身分證字號或統一編號：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地址：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sz w:val="32"/>
          <w:szCs w:val="32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代表人姓名及地址：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MingLiu" w:cs="PMingLiu" w:eastAsia="PMingLiu" w:hAnsi="PMingLiu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中華民國       年      月      日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FKai-SB"/>
  <w:font w:name="PMingLiu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、"/>
      <w:lvlJc w:val="left"/>
      <w:pPr>
        <w:ind w:left="645" w:hanging="645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1125" w:hanging="81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275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755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35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715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195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675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155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635" w:hanging="4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AoX8Ha0EBSYhhsEGBt8grTfSog==">CgMxLjA4AHIhMVhwZVdvMy1Hd2o4OXJpWjhoRE9IWkRoUkw0emgtOFYw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2023-08-15T08:45:00Z</dcterms:created>
  <dc:creator>joanna</dc:creator>
</cp:coreProperties>
</file>